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579408E" wp14:paraId="493358F9" wp14:textId="6D95D117">
      <w:pPr>
        <w:spacing w:before="120" w:beforeAutospacing="off" w:after="120" w:afterAutospacing="off" w:line="360" w:lineRule="auto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5579408E" w:rsidR="557940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Tring Stepping Stones Preschool</w:t>
      </w:r>
    </w:p>
    <w:p xmlns:wp14="http://schemas.microsoft.com/office/word/2010/wordml" w:rsidP="5579408E" wp14:paraId="2DF14FE0" wp14:textId="1E2F23CC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Working in partnership with parents and other agencies policy</w:t>
      </w:r>
    </w:p>
    <w:p xmlns:wp14="http://schemas.microsoft.com/office/word/2010/wordml" w:rsidP="5579408E" wp14:paraId="658EEFF5" wp14:textId="0436348C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Aim</w:t>
      </w:r>
    </w:p>
    <w:p xmlns:wp14="http://schemas.microsoft.com/office/word/2010/wordml" w:rsidP="5579408E" wp14:paraId="239F17A9" wp14:textId="41EBBB18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We actively promote partnership with parents and recognise the importance of working in partnership with other agencies to promote the well-being of children and their families. This includes signposting parents to support as appropriate.</w:t>
      </w:r>
    </w:p>
    <w:p xmlns:wp14="http://schemas.microsoft.com/office/word/2010/wordml" w:rsidP="5579408E" wp14:paraId="47292491" wp14:textId="28380EDC">
      <w:pPr>
        <w:pStyle w:val="Heading6"/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Objectives</w:t>
      </w:r>
    </w:p>
    <w:p xmlns:wp14="http://schemas.microsoft.com/office/word/2010/wordml" w:rsidP="5579408E" wp14:paraId="67FB9F43" wp14:textId="49C2F44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357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We believe that parents are children’s first and most enduring educators and our practice aims to involve and consult parents on all aspects of their child’s well-being.</w:t>
      </w:r>
    </w:p>
    <w:p xmlns:wp14="http://schemas.microsoft.com/office/word/2010/wordml" w:rsidP="5579408E" wp14:paraId="6031E453" wp14:textId="6B149F1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357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We also recognise the important role parents must play in the day-to-day organisation of the provision.</w:t>
      </w:r>
    </w:p>
    <w:p xmlns:wp14="http://schemas.microsoft.com/office/word/2010/wordml" w:rsidP="5579408E" wp14:paraId="693A7970" wp14:textId="461F20C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357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We consider parents views and expectations and will give the opportunity to be involved in the following ways:</w:t>
      </w:r>
    </w:p>
    <w:p xmlns:wp14="http://schemas.microsoft.com/office/word/2010/wordml" w:rsidP="5579408E" wp14:paraId="11C44E0D" wp14:textId="406870DB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sharing information about their child’s needs, likes, achievements and interests</w:t>
      </w:r>
    </w:p>
    <w:p xmlns:wp14="http://schemas.microsoft.com/office/word/2010/wordml" w:rsidP="5579408E" wp14:paraId="65679C66" wp14:textId="34DFB065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settling in their child to the agreed plan according our settling in procedures</w:t>
      </w:r>
    </w:p>
    <w:p xmlns:wp14="http://schemas.microsoft.com/office/word/2010/wordml" w:rsidP="5579408E" wp14:paraId="5B2C6CA3" wp14:textId="4A67EC7E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taking part in children’s activities and outings </w:t>
      </w:r>
    </w:p>
    <w:p xmlns:wp14="http://schemas.microsoft.com/office/word/2010/wordml" w:rsidP="5579408E" wp14:paraId="4DACA81F" wp14:textId="3DDC1E87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contributing with ideas or resources as appropriate to enhance the curriculum of the setting</w:t>
      </w:r>
    </w:p>
    <w:p xmlns:wp14="http://schemas.microsoft.com/office/word/2010/wordml" w:rsidP="5579408E" wp14:paraId="0AD9D633" wp14:textId="16748BC4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taking part in early learning projects, sharing with educators knowledge and insights about their child’s learning</w:t>
      </w:r>
    </w:p>
    <w:p xmlns:wp14="http://schemas.microsoft.com/office/word/2010/wordml" w:rsidP="5579408E" wp14:paraId="20FAEC7C" wp14:textId="51CC6BF5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contributing to assessment with information, photos and stories that illustrate how their child is learning within the home environment, taking part in day-to-day family activities</w:t>
      </w:r>
    </w:p>
    <w:p xmlns:wp14="http://schemas.microsoft.com/office/word/2010/wordml" w:rsidP="5579408E" wp14:paraId="10440354" wp14:textId="2AF3D8DB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taking part in discussion groups</w:t>
      </w:r>
    </w:p>
    <w:p xmlns:wp14="http://schemas.microsoft.com/office/word/2010/wordml" w:rsidP="5579408E" wp14:paraId="0DF97B0A" wp14:textId="6D450B2D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taking part in planning, preparing, or simply participating in social activities organised within the setting</w:t>
      </w:r>
    </w:p>
    <w:p xmlns:wp14="http://schemas.microsoft.com/office/word/2010/wordml" w:rsidP="5579408E" wp14:paraId="1CFB7502" wp14:textId="654041A3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taking part in a parent forum (</w:t>
      </w: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committee</w:t>
      </w: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meetings) to encourage the democratic participation of parents in discussions about the day-to-day </w:t>
      </w:r>
      <w:proofErr w:type="spellStart"/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organisation</w:t>
      </w:r>
      <w:proofErr w:type="spellEnd"/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the setting, consulting about new developments and other matters as they arise</w:t>
      </w:r>
    </w:p>
    <w:p xmlns:wp14="http://schemas.microsoft.com/office/word/2010/wordml" w:rsidP="5579408E" wp14:paraId="4593575A" wp14:textId="69CDC1F5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involvement in the review of policies and procedures</w:t>
      </w:r>
    </w:p>
    <w:p xmlns:wp14="http://schemas.microsoft.com/office/word/2010/wordml" w:rsidP="5579408E" wp14:paraId="545AC0E9" wp14:textId="57DBFF80">
      <w:pPr>
        <w:pStyle w:val="ListParagraph"/>
        <w:numPr>
          <w:ilvl w:val="0"/>
          <w:numId w:val="4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Ofsted and setting contact details are displayed on the parent notice board for parents who have a complaint that cannot be resolved with the setting manager in the first instance, or where a parent is concerned that the EYFS standards are not being maintained</w:t>
      </w:r>
    </w:p>
    <w:p xmlns:wp14="http://schemas.microsoft.com/office/word/2010/wordml" w:rsidP="5579408E" wp14:paraId="42E59FD6" wp14:textId="7E3B9280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Partnership and signposting to other agencies</w:t>
      </w:r>
    </w:p>
    <w:p xmlns:wp14="http://schemas.microsoft.com/office/word/2010/wordml" w:rsidP="5579408E" wp14:paraId="04A4F169" wp14:textId="0607F460">
      <w:pPr>
        <w:pStyle w:val="ListParagraph"/>
        <w:numPr>
          <w:ilvl w:val="0"/>
          <w:numId w:val="15"/>
        </w:numPr>
        <w:spacing w:before="0" w:beforeAutospacing="off" w:after="0" w:afterAutospacing="off" w:line="360" w:lineRule="auto"/>
        <w:ind w:left="360" w:right="0" w:hanging="36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We are committed to ensuring effective partnership with other agencies including:</w:t>
      </w:r>
    </w:p>
    <w:p xmlns:wp14="http://schemas.microsoft.com/office/word/2010/wordml" w:rsidP="5579408E" wp14:paraId="4A7CFA88" wp14:textId="7714EA1E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local authority early years services about the EYFS, training and staff development</w:t>
      </w:r>
    </w:p>
    <w:p xmlns:wp14="http://schemas.microsoft.com/office/word/2010/wordml" w:rsidP="5579408E" wp14:paraId="0132D05F" wp14:textId="3437D38A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local programmes regarding delivering children’s centres or the childcare and early education element of children’s centres</w:t>
      </w:r>
    </w:p>
    <w:p xmlns:wp14="http://schemas.microsoft.com/office/word/2010/wordml" w:rsidP="5579408E" wp14:paraId="13A01521" wp14:textId="2C1065DF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social welfare departments regarding children in need and children who need safeguarding or for whom a child protection plan is in place</w:t>
      </w:r>
    </w:p>
    <w:p xmlns:wp14="http://schemas.microsoft.com/office/word/2010/wordml" w:rsidP="5579408E" wp14:paraId="04C9E5B1" wp14:textId="39C02D44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child development networks and health professionals to support children with disabilities and special needs</w:t>
      </w:r>
    </w:p>
    <w:p xmlns:wp14="http://schemas.microsoft.com/office/word/2010/wordml" w:rsidP="5579408E" wp14:paraId="0D77A81D" wp14:textId="6FEFF3F4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local community organisations and other childcare and early education providers</w:t>
      </w:r>
    </w:p>
    <w:p xmlns:wp14="http://schemas.microsoft.com/office/word/2010/wordml" w:rsidP="5579408E" wp14:paraId="10AEE1B3" wp14:textId="02C263AA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ind w:left="714" w:right="0" w:hanging="357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Ofsted and setting contact details are made available to other agencies who have a complaint that cannot be resolved with the setting manager in the first instance, or where a parent is concerned that the EYFS safeguarding and welfare standards are not being maintained.</w:t>
      </w:r>
    </w:p>
    <w:p xmlns:wp14="http://schemas.microsoft.com/office/word/2010/wordml" w:rsidP="5579408E" wp14:paraId="240B4C2D" wp14:textId="51ABC44A">
      <w:pPr>
        <w:widowControl w:val="0"/>
        <w:tabs>
          <w:tab w:val="left" w:leader="none" w:pos="425"/>
        </w:tabs>
        <w:spacing w:line="360" w:lineRule="auto"/>
        <w:ind w:left="360" w:hanging="36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Schools</w:t>
      </w:r>
    </w:p>
    <w:p xmlns:wp14="http://schemas.microsoft.com/office/word/2010/wordml" w:rsidP="5579408E" wp14:paraId="36FF9D1F" wp14:textId="767FF8C6">
      <w:pPr>
        <w:pStyle w:val="ListParagraph"/>
        <w:widowControl w:val="0"/>
        <w:numPr>
          <w:ilvl w:val="0"/>
          <w:numId w:val="22"/>
        </w:numPr>
        <w:tabs>
          <w:tab w:val="left" w:leader="none" w:pos="425"/>
        </w:tabs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 work in partnership with schools to assist children's transition and to share information as per the Transferring records (to schools) policy.</w:t>
      </w:r>
    </w:p>
    <w:p xmlns:wp14="http://schemas.microsoft.com/office/word/2010/wordml" w:rsidP="5579408E" wp14:paraId="4CEFF573" wp14:textId="56DD6291">
      <w:pPr>
        <w:pStyle w:val="ListParagraph"/>
        <w:widowControl w:val="0"/>
        <w:numPr>
          <w:ilvl w:val="0"/>
          <w:numId w:val="22"/>
        </w:numPr>
        <w:tabs>
          <w:tab w:val="left" w:leader="none" w:pos="425"/>
        </w:tabs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79408E" w:rsidR="557940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Leaders actively seek to forge partnerships with local schools with the aim of assisting transitions, sharing best practice and creating a consistent approach.</w:t>
      </w:r>
    </w:p>
    <w:p xmlns:wp14="http://schemas.microsoft.com/office/word/2010/wordml" w:rsidP="5579408E" wp14:paraId="40123F6B" wp14:textId="12442BCE">
      <w:pPr>
        <w:pStyle w:val="Normal"/>
        <w:spacing w:before="0" w:beforeAutospacing="off" w:after="0" w:afterAutospacing="off" w:line="360" w:lineRule="auto"/>
        <w:ind w:right="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5579408E" wp14:paraId="19EB0A4E" wp14:textId="04537FD3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Legal references</w:t>
      </w:r>
    </w:p>
    <w:p xmlns:wp14="http://schemas.microsoft.com/office/word/2010/wordml" w:rsidP="5579408E" wp14:paraId="1E3E8D93" wp14:textId="30F3136D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Childcare Act 2006</w:t>
      </w:r>
    </w:p>
    <w:p xmlns:wp14="http://schemas.microsoft.com/office/word/2010/wordml" w:rsidP="5579408E" wp14:paraId="06A816B4" wp14:textId="17113948">
      <w:pPr>
        <w:spacing w:before="120" w:beforeAutospacing="off" w:after="120" w:afterAutospacing="off" w:line="360" w:lineRule="auto"/>
      </w:pPr>
      <w:r w:rsidRPr="5579408E" w:rsidR="5579408E">
        <w:rPr>
          <w:rFonts w:ascii="Arial" w:hAnsi="Arial" w:eastAsia="Arial" w:cs="Arial"/>
          <w:noProof w:val="0"/>
          <w:sz w:val="22"/>
          <w:szCs w:val="22"/>
          <w:lang w:val="en-US"/>
        </w:rPr>
        <w:t>Education Act 2011</w:t>
      </w:r>
    </w:p>
    <w:p xmlns:wp14="http://schemas.microsoft.com/office/word/2010/wordml" wp14:paraId="65A8A064" wp14:textId="4CEB9AFC"/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630"/>
      </w:tblGrid>
      <w:tr w:rsidR="5579408E" w:rsidTr="5579408E" w14:paraId="6E19B8D4">
        <w:trPr>
          <w:trHeight w:val="79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7B1E17C3" w14:textId="17CAE4EF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This policy was adopted at a meeting of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E4CE857" w14:textId="0ED6EF30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79408E" w:rsidR="557940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Tring stepping stones Pre school </w:t>
            </w:r>
          </w:p>
        </w:tc>
      </w:tr>
      <w:tr w:rsidR="5579408E" w:rsidTr="5579408E" w14:paraId="22A408C5">
        <w:trPr>
          <w:trHeight w:val="39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1FCBD4C0" w14:textId="2FB0B639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Held on</w:t>
            </w:r>
          </w:p>
        </w:tc>
        <w:tc>
          <w:tcPr>
            <w:tcW w:w="3630" w:type="dxa"/>
            <w:tcBorders>
              <w:top w:val="single" w:color="8064A2" w:sz="6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16C5F6C6" w14:textId="572502F1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79408E" w:rsidR="557940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  </w:t>
            </w:r>
          </w:p>
        </w:tc>
      </w:tr>
      <w:tr w:rsidR="5579408E" w:rsidTr="5579408E" w14:paraId="640C5251">
        <w:trPr>
          <w:trHeight w:val="39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4E17E710" w14:textId="6326C46B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Date to be reviewed</w:t>
            </w:r>
          </w:p>
        </w:tc>
        <w:tc>
          <w:tcPr>
            <w:tcW w:w="3630" w:type="dxa"/>
            <w:tcBorders>
              <w:top w:val="single" w:color="8064A2" w:sz="6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392F4E7" w14:textId="365B9411">
            <w:pPr>
              <w:widowControl w:val="0"/>
              <w:spacing w:line="36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79408E" w:rsidR="5579408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July 2024   </w:t>
            </w:r>
          </w:p>
        </w:tc>
      </w:tr>
      <w:tr w:rsidR="5579408E" w:rsidTr="5579408E" w14:paraId="1B910EBB">
        <w:trPr>
          <w:trHeight w:val="70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53513143" w14:textId="2082D9C9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Signed on behalf of the management committee</w:t>
            </w:r>
          </w:p>
        </w:tc>
        <w:tc>
          <w:tcPr>
            <w:tcW w:w="3630" w:type="dxa"/>
            <w:tcBorders>
              <w:top w:val="single" w:color="8064A2" w:sz="6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54AA385A" w14:textId="24A9A2A3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79408E" w:rsidTr="5579408E" w14:paraId="57DFD950">
        <w:trPr>
          <w:trHeight w:val="39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092FBFC7" w14:textId="5866AB49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Name of signatory</w:t>
            </w:r>
          </w:p>
        </w:tc>
        <w:tc>
          <w:tcPr>
            <w:tcW w:w="3630" w:type="dxa"/>
            <w:tcBorders>
              <w:top w:val="single" w:color="8064A2" w:sz="6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F6D4D0C" w14:textId="3C10A53B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579408E" w:rsidTr="5579408E" w14:paraId="32EC51FD">
        <w:trPr>
          <w:trHeight w:val="39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71318B90" w14:textId="66F12BF7">
            <w:pPr>
              <w:widowControl w:val="0"/>
              <w:spacing w:line="36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Role of signatory (e.g. chair/owner)</w:t>
            </w:r>
          </w:p>
        </w:tc>
        <w:tc>
          <w:tcPr>
            <w:tcW w:w="3630" w:type="dxa"/>
            <w:tcBorders>
              <w:top w:val="single" w:color="8064A2" w:sz="6"/>
              <w:left w:val="nil"/>
              <w:bottom w:val="single" w:color="8064A2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00AF7C8D" w14:textId="14809053">
            <w:pPr>
              <w:widowControl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5579408E" wp14:paraId="3394C69C" wp14:textId="210B9840">
      <w:pPr>
        <w:widowControl w:val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579408E" wp14:paraId="26D32602" wp14:textId="3113035F">
      <w:pPr>
        <w:widowControl w:val="0"/>
        <w:spacing w:line="36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579408E" wp14:paraId="59133B71" wp14:textId="6D4327BE">
      <w:pPr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5579408E" w:rsidTr="5579408E" w14:paraId="58A507E8">
        <w:trPr>
          <w:trHeight w:val="885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1815EFBE" w14:textId="5B8AF575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Staff Name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5543E95E" w14:textId="7AB34666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Please sign when you have read and understood the policy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0AE39E73" w14:textId="61152041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Date </w:t>
            </w:r>
          </w:p>
        </w:tc>
      </w:tr>
      <w:tr w:rsidR="5579408E" w:rsidTr="5579408E" w14:paraId="27804225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35988DC2" w14:textId="0101B422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2AD9BABC" w14:textId="7577B368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Nicola Poulton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49E2D6F0" w14:textId="4E611C5B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77A17AED" w14:textId="1FAEA520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2BDC6BAA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0F87D13D" w14:textId="78100120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466DA82B" w14:textId="4EF3BD99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Lucy Brittain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43ABF2E9" w14:textId="38DF2499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14D82B79" w14:textId="42EEA022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6D6541C2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5CF9B6E" w14:textId="75791561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6D5CDF17" w14:textId="475433F1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Nicola Reynolds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75BCA5BF" w14:textId="101DCD2D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B88AFC5" w14:textId="5371C1C1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0DB6D597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6EDB226A" w14:textId="2A4C907B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502D1892" w14:textId="4ABB53E5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Kim Smith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5F5D406" w14:textId="0BD8A2BC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9FE6058" w14:textId="292F79C3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1475E3EA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67FD53DA" w14:textId="7715426E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664D3F33" w14:textId="232E53AE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Jo Davis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3735099B" w14:textId="26E50449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57127E05" w14:textId="61F4180A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26307B80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405D03B1" w14:textId="612D4A26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:rsidR="5579408E" w:rsidP="5579408E" w:rsidRDefault="5579408E" w14:paraId="5BB71944" w14:textId="268DC293">
            <w:pPr>
              <w:widowControl w:val="0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5579408E" w:rsidR="5579408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2"/>
                <w:szCs w:val="22"/>
              </w:rPr>
              <w:t>Megan Rayner</w:t>
            </w: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4F6399A7" w14:textId="3C3F5B5C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2F1A306D" w14:textId="64E179D1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579408E" w:rsidTr="5579408E" w14:paraId="7E44E798">
        <w:trPr>
          <w:trHeight w:val="480"/>
        </w:trPr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62D91F7B" w14:textId="73800214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nil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1C3EB37A" w14:textId="3E841527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80" w:type="dxa"/>
              <w:right w:w="180" w:type="dxa"/>
            </w:tcMar>
            <w:vAlign w:val="top"/>
          </w:tcPr>
          <w:p w:rsidR="5579408E" w:rsidP="5579408E" w:rsidRDefault="5579408E" w14:paraId="3E546FBC" w14:textId="06498234">
            <w:pPr>
              <w:widowControl w:val="0"/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579408E" wp14:paraId="410009A3" wp14:textId="1B275BF9">
      <w:pPr>
        <w:widowControl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579408E" wp14:paraId="2C078E63" wp14:textId="05B84662">
      <w:pPr>
        <w:pStyle w:val="Normal"/>
      </w:pPr>
      <w:r w:rsidR="5579408E">
        <w:rPr/>
        <w:t xml:space="preserve">July 2024 – As per PSLA template, policies Working in Partnership with Parents and Working in Partnership with Other Agencies have been merged.  Section on working in partnership from schools added to </w:t>
      </w:r>
      <w:r w:rsidR="5579408E">
        <w:rPr/>
        <w:t>this new version</w:t>
      </w:r>
      <w:r w:rsidR="5579408E">
        <w:rPr/>
        <w:t xml:space="preserve"> from our old policy. Older versions of the individual policies have been filed in Old Policies on Dropbox.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21a25a225c841d5"/>
      <w:footerReference w:type="default" r:id="R931c2f411c1045b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79408E" w:rsidTr="5579408E" w14:paraId="3A242C5C">
      <w:trPr>
        <w:trHeight w:val="300"/>
      </w:trPr>
      <w:tc>
        <w:tcPr>
          <w:tcW w:w="3120" w:type="dxa"/>
          <w:tcMar/>
        </w:tcPr>
        <w:p w:rsidR="5579408E" w:rsidP="5579408E" w:rsidRDefault="5579408E" w14:paraId="6C74E63B" w14:textId="3E9309C2">
          <w:pPr>
            <w:pStyle w:val="Header"/>
            <w:bidi w:val="0"/>
            <w:ind w:left="-115"/>
            <w:jc w:val="left"/>
          </w:pPr>
          <w:r w:rsidR="5579408E">
            <w:rPr/>
            <w:t>Working in Partnership with parents and other agencies July 2024</w:t>
          </w:r>
        </w:p>
      </w:tc>
      <w:tc>
        <w:tcPr>
          <w:tcW w:w="3120" w:type="dxa"/>
          <w:tcMar/>
        </w:tcPr>
        <w:p w:rsidR="5579408E" w:rsidP="5579408E" w:rsidRDefault="5579408E" w14:paraId="76AC3931" w14:textId="7E4D615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79408E" w:rsidP="5579408E" w:rsidRDefault="5579408E" w14:paraId="45426EEA" w14:textId="44832BA0">
          <w:pPr>
            <w:pStyle w:val="Header"/>
            <w:bidi w:val="0"/>
            <w:ind w:right="-115"/>
            <w:jc w:val="right"/>
          </w:pPr>
        </w:p>
      </w:tc>
    </w:tr>
  </w:tbl>
  <w:p w:rsidR="5579408E" w:rsidP="5579408E" w:rsidRDefault="5579408E" w14:paraId="12813E17" w14:textId="3A972AE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79408E" w:rsidTr="5579408E" w14:paraId="4CB72F4C">
      <w:trPr>
        <w:trHeight w:val="300"/>
      </w:trPr>
      <w:tc>
        <w:tcPr>
          <w:tcW w:w="3120" w:type="dxa"/>
          <w:tcMar/>
        </w:tcPr>
        <w:p w:rsidR="5579408E" w:rsidP="5579408E" w:rsidRDefault="5579408E" w14:paraId="4CE1DF72" w14:textId="1CAD22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579408E" w:rsidP="5579408E" w:rsidRDefault="5579408E" w14:paraId="1EE08D5B" w14:textId="04717A6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579408E" w:rsidP="5579408E" w:rsidRDefault="5579408E" w14:paraId="216E1525" w14:textId="797A5CDE">
          <w:pPr>
            <w:pStyle w:val="Header"/>
            <w:bidi w:val="0"/>
            <w:ind w:right="-115"/>
            <w:jc w:val="right"/>
          </w:pPr>
        </w:p>
      </w:tc>
    </w:tr>
  </w:tbl>
  <w:p w:rsidR="5579408E" w:rsidP="5579408E" w:rsidRDefault="5579408E" w14:paraId="78C3CC67" w14:textId="5C26F02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62bf2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20a10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dc39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98925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1e870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e931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859a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30e3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2ef57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78b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133f6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93359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b6b2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d5e6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aa456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e9f7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1634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2a00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0af89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acc7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674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b3ea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1ad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3AD74"/>
    <w:rsid w:val="5579408E"/>
    <w:rsid w:val="57A3A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AD74"/>
  <w15:chartTrackingRefBased/>
  <w15:docId w15:val="{3B811A5D-D584-41C6-ABD8-9C4EC2725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21a25a225c841d5" /><Relationship Type="http://schemas.openxmlformats.org/officeDocument/2006/relationships/footer" Target="footer.xml" Id="R931c2f411c1045b6" /><Relationship Type="http://schemas.openxmlformats.org/officeDocument/2006/relationships/numbering" Target="numbering.xml" Id="R0cce181568cb4f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2024-07-05T21:18:23.5228378Z</dcterms:created>
  <dcterms:modified xsi:type="dcterms:W3CDTF">2024-07-05T21:24:30.6404456Z</dcterms:modified>
  <dc:creator>Lucy Brittain</dc:creator>
  <lastModifiedBy>Lucy Brittain</lastModifiedBy>
</coreProperties>
</file>